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A9FA5" w14:textId="77777777" w:rsidR="000A725F" w:rsidRDefault="000A725F">
      <w:pPr>
        <w:rPr>
          <w:noProof/>
        </w:rPr>
      </w:pPr>
    </w:p>
    <w:p w14:paraId="5A68F331" w14:textId="4FE7984C" w:rsidR="002637F1" w:rsidRDefault="00F06BD5" w:rsidP="002D6D39">
      <w:pPr>
        <w:spacing w:after="0" w:line="276" w:lineRule="auto"/>
        <w:jc w:val="center"/>
        <w:rPr>
          <w:b/>
          <w:bCs/>
          <w:noProof/>
          <w:sz w:val="32"/>
          <w:szCs w:val="32"/>
        </w:rPr>
      </w:pPr>
      <w:r>
        <w:rPr>
          <w:b/>
          <w:bCs/>
          <w:noProof/>
          <w:sz w:val="32"/>
          <w:szCs w:val="32"/>
        </w:rPr>
        <w:t xml:space="preserve">Debata publiczna </w:t>
      </w:r>
      <w:r w:rsidR="002637F1" w:rsidRPr="002637F1">
        <w:rPr>
          <w:b/>
          <w:bCs/>
          <w:noProof/>
          <w:sz w:val="32"/>
          <w:szCs w:val="32"/>
        </w:rPr>
        <w:t xml:space="preserve"> </w:t>
      </w:r>
    </w:p>
    <w:p w14:paraId="68059971" w14:textId="5E2D9133" w:rsidR="002637F1" w:rsidRPr="002637F1" w:rsidRDefault="002D6D39" w:rsidP="002D6D39">
      <w:pPr>
        <w:spacing w:after="0" w:line="276" w:lineRule="auto"/>
        <w:jc w:val="center"/>
        <w:rPr>
          <w:b/>
          <w:bCs/>
          <w:noProof/>
          <w:sz w:val="32"/>
          <w:szCs w:val="32"/>
        </w:rPr>
      </w:pPr>
      <w:r>
        <w:rPr>
          <w:b/>
          <w:bCs/>
          <w:noProof/>
          <w:sz w:val="32"/>
          <w:szCs w:val="32"/>
        </w:rPr>
        <w:t>„</w:t>
      </w:r>
      <w:r w:rsidR="002637F1" w:rsidRPr="002637F1">
        <w:rPr>
          <w:b/>
          <w:bCs/>
          <w:noProof/>
          <w:sz w:val="32"/>
          <w:szCs w:val="32"/>
        </w:rPr>
        <w:t>Raportu diagnostycznego obszaru Partnerstwa Rezerwatu Biosfery Bory Tucholskie</w:t>
      </w:r>
      <w:r>
        <w:rPr>
          <w:b/>
          <w:bCs/>
          <w:noProof/>
          <w:sz w:val="32"/>
          <w:szCs w:val="32"/>
        </w:rPr>
        <w:t>”</w:t>
      </w:r>
    </w:p>
    <w:p w14:paraId="28A59EBF" w14:textId="032970C7" w:rsidR="00F62300" w:rsidRDefault="00D44784" w:rsidP="000A725F">
      <w:pPr>
        <w:jc w:val="center"/>
      </w:pPr>
      <w:r>
        <w:rPr>
          <w:noProof/>
          <w:lang w:eastAsia="pl-PL"/>
        </w:rPr>
        <w:drawing>
          <wp:inline distT="0" distB="0" distL="0" distR="0" wp14:anchorId="67D8291B" wp14:editId="0AFF46E4">
            <wp:extent cx="1428750" cy="1428750"/>
            <wp:effectExtent l="0" t="0" r="0" b="0"/>
            <wp:docPr id="29" name="Grafika 29" descr="Użytkow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a 29" descr="Użytkownicy"/>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1428750" cy="1428750"/>
                    </a:xfrm>
                    <a:prstGeom prst="rect">
                      <a:avLst/>
                    </a:prstGeom>
                  </pic:spPr>
                </pic:pic>
              </a:graphicData>
            </a:graphic>
          </wp:inline>
        </w:drawing>
      </w:r>
    </w:p>
    <w:p w14:paraId="30A379B0" w14:textId="77777777" w:rsidR="00BB7118" w:rsidRDefault="002D3F9B" w:rsidP="002D6D39">
      <w:pPr>
        <w:spacing w:line="276" w:lineRule="auto"/>
        <w:jc w:val="center"/>
        <w:rPr>
          <w:rFonts w:asciiTheme="majorHAnsi" w:hAnsiTheme="majorHAnsi" w:cstheme="majorHAnsi"/>
          <w:b/>
          <w:bCs/>
          <w:noProof/>
          <w:sz w:val="24"/>
          <w:szCs w:val="24"/>
        </w:rPr>
      </w:pPr>
      <w:r>
        <w:rPr>
          <w:noProof/>
          <w:lang w:eastAsia="pl-PL"/>
        </w:rPr>
        <w:drawing>
          <wp:inline distT="0" distB="0" distL="0" distR="0" wp14:anchorId="6B37E335" wp14:editId="1484C8F0">
            <wp:extent cx="2941320" cy="2941320"/>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1320" cy="2941320"/>
                    </a:xfrm>
                    <a:prstGeom prst="rect">
                      <a:avLst/>
                    </a:prstGeom>
                    <a:noFill/>
                    <a:ln>
                      <a:noFill/>
                    </a:ln>
                  </pic:spPr>
                </pic:pic>
              </a:graphicData>
            </a:graphic>
          </wp:inline>
        </w:drawing>
      </w:r>
    </w:p>
    <w:p w14:paraId="72A938CC" w14:textId="77777777" w:rsidR="00BB7118" w:rsidRDefault="00BB7118" w:rsidP="002D6D39">
      <w:pPr>
        <w:spacing w:line="276" w:lineRule="auto"/>
        <w:jc w:val="center"/>
        <w:rPr>
          <w:rFonts w:asciiTheme="majorHAnsi" w:hAnsiTheme="majorHAnsi" w:cstheme="majorHAnsi"/>
          <w:b/>
          <w:bCs/>
          <w:noProof/>
          <w:sz w:val="24"/>
          <w:szCs w:val="24"/>
        </w:rPr>
      </w:pPr>
    </w:p>
    <w:p w14:paraId="2EED6F77" w14:textId="77777777" w:rsidR="00BB7118" w:rsidRDefault="00BB7118" w:rsidP="002D6D39">
      <w:pPr>
        <w:spacing w:line="276" w:lineRule="auto"/>
        <w:jc w:val="center"/>
        <w:rPr>
          <w:rFonts w:asciiTheme="majorHAnsi" w:hAnsiTheme="majorHAnsi" w:cstheme="majorHAnsi"/>
          <w:b/>
          <w:bCs/>
          <w:noProof/>
          <w:sz w:val="24"/>
          <w:szCs w:val="24"/>
        </w:rPr>
      </w:pPr>
    </w:p>
    <w:p w14:paraId="32CF797E" w14:textId="4F935E13" w:rsidR="00BB7118" w:rsidRPr="002D3F9B" w:rsidRDefault="0095512C" w:rsidP="00BB7118">
      <w:pPr>
        <w:spacing w:line="276" w:lineRule="auto"/>
        <w:jc w:val="center"/>
        <w:rPr>
          <w:rFonts w:asciiTheme="majorHAnsi" w:hAnsiTheme="majorHAnsi" w:cstheme="majorHAnsi"/>
          <w:b/>
          <w:bCs/>
          <w:noProof/>
          <w:sz w:val="32"/>
          <w:szCs w:val="32"/>
        </w:rPr>
      </w:pPr>
      <w:r w:rsidRPr="0095512C">
        <w:rPr>
          <w:rFonts w:asciiTheme="majorHAnsi" w:hAnsiTheme="majorHAnsi" w:cstheme="majorHAnsi"/>
          <w:b/>
          <w:bCs/>
          <w:sz w:val="32"/>
          <w:szCs w:val="32"/>
        </w:rPr>
        <w:t>Wójt Gminy Studzienice</w:t>
      </w:r>
      <w:r w:rsidR="00BB7118" w:rsidRPr="0095512C">
        <w:rPr>
          <w:rFonts w:asciiTheme="majorHAnsi" w:hAnsiTheme="majorHAnsi" w:cstheme="majorHAnsi"/>
          <w:b/>
          <w:bCs/>
          <w:sz w:val="32"/>
          <w:szCs w:val="32"/>
        </w:rPr>
        <w:t xml:space="preserve"> </w:t>
      </w:r>
      <w:r w:rsidR="00BB7118" w:rsidRPr="002D3F9B">
        <w:rPr>
          <w:rFonts w:asciiTheme="majorHAnsi" w:hAnsiTheme="majorHAnsi" w:cstheme="majorHAnsi"/>
          <w:b/>
          <w:bCs/>
          <w:sz w:val="32"/>
          <w:szCs w:val="32"/>
        </w:rPr>
        <w:t>zaprasza do udziału w </w:t>
      </w:r>
      <w:r w:rsidR="00F06BD5">
        <w:rPr>
          <w:rFonts w:asciiTheme="majorHAnsi" w:hAnsiTheme="majorHAnsi" w:cstheme="majorHAnsi"/>
          <w:b/>
          <w:bCs/>
          <w:sz w:val="32"/>
          <w:szCs w:val="32"/>
        </w:rPr>
        <w:t xml:space="preserve">debacie publicznej </w:t>
      </w:r>
      <w:r w:rsidR="00BB7118" w:rsidRPr="002D3F9B">
        <w:rPr>
          <w:rFonts w:asciiTheme="majorHAnsi" w:hAnsiTheme="majorHAnsi" w:cstheme="majorHAnsi"/>
          <w:b/>
          <w:bCs/>
          <w:sz w:val="32"/>
          <w:szCs w:val="32"/>
        </w:rPr>
        <w:t>„</w:t>
      </w:r>
      <w:r w:rsidR="00BB7118" w:rsidRPr="002D3F9B">
        <w:rPr>
          <w:rFonts w:asciiTheme="majorHAnsi" w:hAnsiTheme="majorHAnsi" w:cstheme="majorHAnsi"/>
          <w:b/>
          <w:bCs/>
          <w:noProof/>
          <w:sz w:val="32"/>
          <w:szCs w:val="32"/>
        </w:rPr>
        <w:t xml:space="preserve">Raportu diagnostycznego obszaru Partnerstwa Rezerwatu Biosfery Bory Tucholskie”. </w:t>
      </w:r>
    </w:p>
    <w:p w14:paraId="72C8952C" w14:textId="4F8ADE7D" w:rsidR="00BB7118" w:rsidRDefault="00BB7118" w:rsidP="002D6D39">
      <w:pPr>
        <w:spacing w:line="276" w:lineRule="auto"/>
        <w:jc w:val="center"/>
        <w:rPr>
          <w:rFonts w:asciiTheme="majorHAnsi" w:hAnsiTheme="majorHAnsi" w:cstheme="majorHAnsi"/>
          <w:b/>
          <w:bCs/>
          <w:noProof/>
          <w:sz w:val="24"/>
          <w:szCs w:val="24"/>
        </w:rPr>
      </w:pPr>
    </w:p>
    <w:p w14:paraId="1D86448B" w14:textId="77777777" w:rsidR="00F374FA" w:rsidRDefault="00F374FA" w:rsidP="002D6D39">
      <w:pPr>
        <w:spacing w:line="276" w:lineRule="auto"/>
        <w:jc w:val="center"/>
        <w:rPr>
          <w:rFonts w:asciiTheme="majorHAnsi" w:hAnsiTheme="majorHAnsi" w:cstheme="majorHAnsi"/>
          <w:b/>
          <w:bCs/>
          <w:noProof/>
          <w:sz w:val="24"/>
          <w:szCs w:val="24"/>
        </w:rPr>
      </w:pPr>
    </w:p>
    <w:p w14:paraId="721B039D" w14:textId="275C4C6A" w:rsidR="00BB7118" w:rsidRPr="002D6D39" w:rsidRDefault="00BB7118" w:rsidP="00BB7118">
      <w:pPr>
        <w:spacing w:line="276" w:lineRule="auto"/>
        <w:jc w:val="both"/>
        <w:rPr>
          <w:rFonts w:asciiTheme="majorHAnsi" w:hAnsiTheme="majorHAnsi" w:cstheme="majorHAnsi"/>
          <w:noProof/>
          <w:sz w:val="24"/>
          <w:szCs w:val="24"/>
        </w:rPr>
      </w:pPr>
      <w:r w:rsidRPr="002D6D39">
        <w:rPr>
          <w:rFonts w:asciiTheme="majorHAnsi" w:hAnsiTheme="majorHAnsi" w:cstheme="majorHAnsi"/>
          <w:noProof/>
          <w:sz w:val="24"/>
          <w:szCs w:val="24"/>
        </w:rPr>
        <w:lastRenderedPageBreak/>
        <w:t xml:space="preserve">Partnerstwo Rezerwatu </w:t>
      </w:r>
      <w:r w:rsidR="00F06BD5">
        <w:rPr>
          <w:rFonts w:asciiTheme="majorHAnsi" w:hAnsiTheme="majorHAnsi" w:cstheme="majorHAnsi"/>
          <w:noProof/>
          <w:sz w:val="24"/>
          <w:szCs w:val="24"/>
        </w:rPr>
        <w:t xml:space="preserve">Biosfery </w:t>
      </w:r>
      <w:r w:rsidRPr="002D6D39">
        <w:rPr>
          <w:rFonts w:asciiTheme="majorHAnsi" w:hAnsiTheme="majorHAnsi" w:cstheme="majorHAnsi"/>
          <w:noProof/>
          <w:sz w:val="24"/>
          <w:szCs w:val="24"/>
        </w:rPr>
        <w:t>Bory Tucholskie jest niezinstytucjonalizowaną formą współpracy 16 jednostek samorządu terytorialnego szczebla gminnego tj. Gminy Lipusz, Gminy Karsin, Gminy Stara Kiszewa, Gminy Konarzyny, Gminy Chojnice, Gminy Kościerzyna, Gminy Kaliska, Gminy Osieczna, Gminy Osiek, Gminy Lubichowo, Gminy Dziemiany, Gminy Lipnica, Gminy Studzienice, Gminy Czersk, Gminy Brusy, Gminy Czarna Woda.</w:t>
      </w:r>
    </w:p>
    <w:p w14:paraId="116680F2" w14:textId="40563BBD" w:rsidR="00BB7118" w:rsidRPr="002D6D39" w:rsidRDefault="00BB7118" w:rsidP="00BB7118">
      <w:pPr>
        <w:spacing w:line="276" w:lineRule="auto"/>
        <w:jc w:val="both"/>
        <w:rPr>
          <w:rFonts w:asciiTheme="majorHAnsi" w:hAnsiTheme="majorHAnsi" w:cstheme="majorHAnsi"/>
          <w:sz w:val="24"/>
          <w:szCs w:val="24"/>
        </w:rPr>
      </w:pPr>
      <w:r w:rsidRPr="002D6D39">
        <w:rPr>
          <w:rFonts w:asciiTheme="majorHAnsi" w:hAnsiTheme="majorHAnsi" w:cstheme="majorHAnsi"/>
          <w:sz w:val="24"/>
          <w:szCs w:val="24"/>
        </w:rPr>
        <w:t xml:space="preserve">Celem opracowania </w:t>
      </w:r>
      <w:r w:rsidR="00F85F82">
        <w:rPr>
          <w:rFonts w:asciiTheme="majorHAnsi" w:hAnsiTheme="majorHAnsi" w:cstheme="majorHAnsi"/>
          <w:sz w:val="24"/>
          <w:szCs w:val="24"/>
        </w:rPr>
        <w:t>r</w:t>
      </w:r>
      <w:r w:rsidRPr="002D6D39">
        <w:rPr>
          <w:rFonts w:asciiTheme="majorHAnsi" w:hAnsiTheme="majorHAnsi" w:cstheme="majorHAnsi"/>
          <w:sz w:val="24"/>
          <w:szCs w:val="24"/>
        </w:rPr>
        <w:t xml:space="preserve">aportu jest przedstawienie syntetycznej diagnozy społeczno-gospodarczej i środowiskowo-przestrzennej obszaru Partnerstwa Rezerwatu Biosfery Bory Tucholskie na potrzeby sporządzenia strategii terytorialnej obszaru na lata 2021-2030, z perspektywą do </w:t>
      </w:r>
      <w:r w:rsidR="00F374FA">
        <w:rPr>
          <w:rFonts w:asciiTheme="majorHAnsi" w:hAnsiTheme="majorHAnsi" w:cstheme="majorHAnsi"/>
          <w:sz w:val="24"/>
          <w:szCs w:val="24"/>
        </w:rPr>
        <w:br/>
      </w:r>
      <w:r w:rsidRPr="002D6D39">
        <w:rPr>
          <w:rFonts w:asciiTheme="majorHAnsi" w:hAnsiTheme="majorHAnsi" w:cstheme="majorHAnsi"/>
          <w:sz w:val="24"/>
          <w:szCs w:val="24"/>
        </w:rPr>
        <w:t xml:space="preserve">2050 r. Diagnoza wykorzystuje podstawowe dane statystyczne, dane i opracowania gminne, badania społeczne i porusza wybrane, najważniejsze dla rozwoju obszaru Partnerstwa zagadnienia.   </w:t>
      </w:r>
    </w:p>
    <w:p w14:paraId="246D6E67" w14:textId="0D72E115" w:rsidR="00BB7118" w:rsidRPr="002D6D39" w:rsidRDefault="00F06BD5" w:rsidP="00BB7118">
      <w:pPr>
        <w:pStyle w:val="NormalnyWeb"/>
        <w:spacing w:line="276" w:lineRule="auto"/>
        <w:jc w:val="both"/>
        <w:rPr>
          <w:rFonts w:asciiTheme="majorHAnsi" w:hAnsiTheme="majorHAnsi" w:cstheme="majorHAnsi"/>
        </w:rPr>
      </w:pPr>
      <w:r>
        <w:rPr>
          <w:rStyle w:val="Pogrubienie"/>
          <w:rFonts w:asciiTheme="majorHAnsi" w:hAnsiTheme="majorHAnsi" w:cstheme="majorHAnsi"/>
        </w:rPr>
        <w:t xml:space="preserve">Debata publiczna jest prowadzona </w:t>
      </w:r>
      <w:r w:rsidR="00BB7118" w:rsidRPr="002D6D39">
        <w:rPr>
          <w:rStyle w:val="Pogrubienie"/>
          <w:rFonts w:asciiTheme="majorHAnsi" w:hAnsiTheme="majorHAnsi" w:cstheme="majorHAnsi"/>
        </w:rPr>
        <w:t xml:space="preserve">do dnia 19.04.2021 </w:t>
      </w:r>
      <w:proofErr w:type="gramStart"/>
      <w:r w:rsidR="00BB7118" w:rsidRPr="002D6D39">
        <w:rPr>
          <w:rStyle w:val="Pogrubienie"/>
          <w:rFonts w:asciiTheme="majorHAnsi" w:hAnsiTheme="majorHAnsi" w:cstheme="majorHAnsi"/>
        </w:rPr>
        <w:t>r</w:t>
      </w:r>
      <w:proofErr w:type="gramEnd"/>
      <w:r w:rsidR="00BB7118" w:rsidRPr="002D6D39">
        <w:rPr>
          <w:rStyle w:val="Pogrubienie"/>
          <w:rFonts w:asciiTheme="majorHAnsi" w:hAnsiTheme="majorHAnsi" w:cstheme="majorHAnsi"/>
        </w:rPr>
        <w:t>.</w:t>
      </w:r>
    </w:p>
    <w:p w14:paraId="15311886" w14:textId="4DC5F0B8" w:rsidR="00BB7118" w:rsidRPr="002D6D39" w:rsidRDefault="00BB7118" w:rsidP="00BB7118">
      <w:pPr>
        <w:pStyle w:val="NormalnyWeb"/>
        <w:spacing w:line="276" w:lineRule="auto"/>
        <w:jc w:val="both"/>
        <w:rPr>
          <w:rFonts w:asciiTheme="majorHAnsi" w:hAnsiTheme="majorHAnsi" w:cstheme="majorHAnsi"/>
          <w:b/>
          <w:bCs/>
          <w:noProof/>
        </w:rPr>
      </w:pPr>
      <w:r w:rsidRPr="002D6D39">
        <w:rPr>
          <w:rStyle w:val="Pogrubienie"/>
          <w:rFonts w:asciiTheme="majorHAnsi" w:hAnsiTheme="majorHAnsi" w:cstheme="majorHAnsi"/>
        </w:rPr>
        <w:t>Do udziału w procesie</w:t>
      </w:r>
      <w:r w:rsidR="00657680">
        <w:rPr>
          <w:rStyle w:val="Pogrubienie"/>
          <w:rFonts w:asciiTheme="majorHAnsi" w:hAnsiTheme="majorHAnsi" w:cstheme="majorHAnsi"/>
        </w:rPr>
        <w:t xml:space="preserve"> debaty publicznej </w:t>
      </w:r>
      <w:r w:rsidRPr="002D6D39">
        <w:rPr>
          <w:rFonts w:asciiTheme="majorHAnsi" w:hAnsiTheme="majorHAnsi" w:cstheme="majorHAnsi"/>
          <w:b/>
          <w:bCs/>
        </w:rPr>
        <w:t>„</w:t>
      </w:r>
      <w:r w:rsidRPr="002D6D39">
        <w:rPr>
          <w:rFonts w:asciiTheme="majorHAnsi" w:hAnsiTheme="majorHAnsi" w:cstheme="majorHAnsi"/>
          <w:b/>
          <w:bCs/>
          <w:noProof/>
        </w:rPr>
        <w:t>Raportu diagnostycznego obszaru Partnerstwa Rezerwatu Biosfery Bory Tucholskie”</w:t>
      </w:r>
      <w:r w:rsidRPr="002D6D39">
        <w:rPr>
          <w:rStyle w:val="Pogrubienie"/>
          <w:rFonts w:asciiTheme="majorHAnsi" w:hAnsiTheme="majorHAnsi" w:cstheme="majorHAnsi"/>
        </w:rPr>
        <w:t xml:space="preserve"> zapraszamy mieszkańców, samorządy, partnerów społecznych i gospodarczych oraz wszystkich zainteresowanych.</w:t>
      </w:r>
    </w:p>
    <w:p w14:paraId="17867B83" w14:textId="39FC97BE" w:rsidR="00BB7118" w:rsidRPr="002D6D39" w:rsidRDefault="00BB7118" w:rsidP="00BB7118">
      <w:pPr>
        <w:pStyle w:val="NormalnyWeb"/>
        <w:spacing w:line="276" w:lineRule="auto"/>
        <w:jc w:val="both"/>
        <w:rPr>
          <w:rFonts w:asciiTheme="majorHAnsi" w:hAnsiTheme="majorHAnsi" w:cstheme="majorHAnsi"/>
          <w:color w:val="FF0000"/>
        </w:rPr>
      </w:pPr>
      <w:r w:rsidRPr="002D6D39">
        <w:rPr>
          <w:rFonts w:asciiTheme="majorHAnsi" w:hAnsiTheme="majorHAnsi" w:cstheme="majorHAnsi"/>
        </w:rPr>
        <w:t xml:space="preserve">W związku z sytuacją epidemiczną COVID-19 oraz w trosce o zdrowie mieszkańców obszaru Partnerstwa, </w:t>
      </w:r>
      <w:r w:rsidR="00A17522">
        <w:rPr>
          <w:rFonts w:asciiTheme="majorHAnsi" w:hAnsiTheme="majorHAnsi" w:cstheme="majorHAnsi"/>
        </w:rPr>
        <w:t>debata publiczna</w:t>
      </w:r>
      <w:r w:rsidRPr="002D6D39">
        <w:rPr>
          <w:rFonts w:asciiTheme="majorHAnsi" w:hAnsiTheme="majorHAnsi" w:cstheme="majorHAnsi"/>
        </w:rPr>
        <w:t xml:space="preserve"> Raportu diagnostycznego odbywać się będ</w:t>
      </w:r>
      <w:r w:rsidR="00A17522">
        <w:rPr>
          <w:rFonts w:asciiTheme="majorHAnsi" w:hAnsiTheme="majorHAnsi" w:cstheme="majorHAnsi"/>
        </w:rPr>
        <w:t xml:space="preserve">zie </w:t>
      </w:r>
      <w:r w:rsidRPr="002D6D39">
        <w:rPr>
          <w:rFonts w:asciiTheme="majorHAnsi" w:hAnsiTheme="majorHAnsi" w:cstheme="majorHAnsi"/>
        </w:rPr>
        <w:t xml:space="preserve">drogą elektroniczną. Wszelkie uwagi i wnioski należy zgłaszać </w:t>
      </w:r>
      <w:r w:rsidRPr="002D6D39">
        <w:rPr>
          <w:rStyle w:val="Pogrubienie"/>
          <w:rFonts w:asciiTheme="majorHAnsi" w:hAnsiTheme="majorHAnsi" w:cstheme="majorHAnsi"/>
        </w:rPr>
        <w:t>w terminie do dnia 19.04.2021 r.</w:t>
      </w:r>
      <w:r w:rsidRPr="002D6D39">
        <w:rPr>
          <w:rFonts w:asciiTheme="majorHAnsi" w:hAnsiTheme="majorHAnsi" w:cstheme="majorHAnsi"/>
        </w:rPr>
        <w:t>, za pomocą formularza dostępnego poniżej, na adres</w:t>
      </w:r>
      <w:proofErr w:type="gramStart"/>
      <w:r w:rsidRPr="002D6D39">
        <w:rPr>
          <w:rFonts w:asciiTheme="majorHAnsi" w:hAnsiTheme="majorHAnsi" w:cstheme="majorHAnsi"/>
        </w:rPr>
        <w:t>: </w:t>
      </w:r>
      <w:r w:rsidR="0095512C" w:rsidRPr="0095512C">
        <w:rPr>
          <w:rFonts w:asciiTheme="majorHAnsi" w:hAnsiTheme="majorHAnsi" w:cstheme="majorHAnsi"/>
        </w:rPr>
        <w:t>grunty</w:t>
      </w:r>
      <w:proofErr w:type="gramEnd"/>
      <w:r w:rsidR="0095512C" w:rsidRPr="0095512C">
        <w:rPr>
          <w:rFonts w:asciiTheme="majorHAnsi" w:hAnsiTheme="majorHAnsi" w:cstheme="majorHAnsi"/>
        </w:rPr>
        <w:t>@studzienice.</w:t>
      </w:r>
      <w:proofErr w:type="gramStart"/>
      <w:r w:rsidR="0095512C" w:rsidRPr="0095512C">
        <w:rPr>
          <w:rFonts w:asciiTheme="majorHAnsi" w:hAnsiTheme="majorHAnsi" w:cstheme="majorHAnsi"/>
        </w:rPr>
        <w:t>pl</w:t>
      </w:r>
      <w:proofErr w:type="gramEnd"/>
    </w:p>
    <w:p w14:paraId="1D3D1839" w14:textId="77777777" w:rsidR="00BB7118" w:rsidRPr="002D6D39" w:rsidRDefault="00BB7118" w:rsidP="00BB7118">
      <w:pPr>
        <w:pStyle w:val="NormalnyWeb"/>
        <w:spacing w:line="276" w:lineRule="auto"/>
        <w:jc w:val="both"/>
        <w:rPr>
          <w:rFonts w:asciiTheme="majorHAnsi" w:hAnsiTheme="majorHAnsi" w:cstheme="majorHAnsi"/>
          <w:color w:val="FF0000"/>
        </w:rPr>
      </w:pPr>
      <w:r w:rsidRPr="002D6D39">
        <w:rPr>
          <w:rFonts w:asciiTheme="majorHAnsi" w:hAnsiTheme="majorHAnsi" w:cstheme="majorHAnsi"/>
          <w:color w:val="FF0000"/>
        </w:rPr>
        <w:t> </w:t>
      </w:r>
      <w:bookmarkStart w:id="0" w:name="_GoBack"/>
      <w:bookmarkEnd w:id="0"/>
    </w:p>
    <w:p w14:paraId="4BD70F0F" w14:textId="77777777" w:rsidR="00BB7118" w:rsidRPr="002D6D39" w:rsidRDefault="00BB7118" w:rsidP="00BB7118">
      <w:pPr>
        <w:pStyle w:val="NormalnyWeb"/>
        <w:spacing w:line="276" w:lineRule="auto"/>
        <w:jc w:val="both"/>
        <w:rPr>
          <w:rFonts w:asciiTheme="majorHAnsi" w:hAnsiTheme="majorHAnsi" w:cstheme="majorHAnsi"/>
        </w:rPr>
      </w:pPr>
      <w:r w:rsidRPr="002D6D39">
        <w:rPr>
          <w:rStyle w:val="Pogrubienie"/>
          <w:rFonts w:asciiTheme="majorHAnsi" w:hAnsiTheme="majorHAnsi" w:cstheme="majorHAnsi"/>
        </w:rPr>
        <w:t>Załączniki:</w:t>
      </w:r>
    </w:p>
    <w:p w14:paraId="14698FD0" w14:textId="7F6197D6" w:rsidR="00BB7118" w:rsidRPr="00AF72F8" w:rsidRDefault="0095512C" w:rsidP="00BB7118">
      <w:pPr>
        <w:numPr>
          <w:ilvl w:val="0"/>
          <w:numId w:val="1"/>
        </w:numPr>
        <w:spacing w:before="100" w:beforeAutospacing="1" w:after="100" w:afterAutospacing="1" w:line="276" w:lineRule="auto"/>
        <w:jc w:val="both"/>
        <w:rPr>
          <w:rFonts w:asciiTheme="majorHAnsi" w:hAnsiTheme="majorHAnsi" w:cstheme="majorHAnsi"/>
          <w:color w:val="00B0F0"/>
          <w:sz w:val="24"/>
          <w:szCs w:val="24"/>
        </w:rPr>
      </w:pPr>
      <w:hyperlink r:id="rId11" w:tgtFrame="_blank" w:history="1">
        <w:r w:rsidR="00BB7118" w:rsidRPr="00AF72F8">
          <w:rPr>
            <w:rStyle w:val="Hipercze"/>
            <w:rFonts w:asciiTheme="majorHAnsi" w:hAnsiTheme="majorHAnsi" w:cstheme="majorHAnsi"/>
            <w:color w:val="00B0F0"/>
            <w:sz w:val="24"/>
            <w:szCs w:val="24"/>
            <w:u w:val="none"/>
          </w:rPr>
          <w:t>Formularz zgłaszania uwag do </w:t>
        </w:r>
        <w:r w:rsidR="00AF72F8">
          <w:rPr>
            <w:rStyle w:val="Hipercze"/>
            <w:rFonts w:asciiTheme="majorHAnsi" w:hAnsiTheme="majorHAnsi" w:cstheme="majorHAnsi"/>
            <w:color w:val="00B0F0"/>
            <w:sz w:val="24"/>
            <w:szCs w:val="24"/>
            <w:u w:val="none"/>
          </w:rPr>
          <w:t>Raportu</w:t>
        </w:r>
        <w:r w:rsidR="00D44784">
          <w:rPr>
            <w:rStyle w:val="Hipercze"/>
            <w:rFonts w:asciiTheme="majorHAnsi" w:hAnsiTheme="majorHAnsi" w:cstheme="majorHAnsi"/>
            <w:color w:val="00B0F0"/>
            <w:sz w:val="24"/>
            <w:szCs w:val="24"/>
            <w:u w:val="none"/>
          </w:rPr>
          <w:t xml:space="preserve"> </w:t>
        </w:r>
        <w:r w:rsidR="00AF72F8">
          <w:rPr>
            <w:rStyle w:val="Hipercze"/>
            <w:rFonts w:asciiTheme="majorHAnsi" w:hAnsiTheme="majorHAnsi" w:cstheme="majorHAnsi"/>
            <w:color w:val="00B0F0"/>
            <w:sz w:val="24"/>
            <w:szCs w:val="24"/>
            <w:u w:val="none"/>
          </w:rPr>
          <w:t>diagnostyczneg</w:t>
        </w:r>
        <w:r w:rsidR="00D44784">
          <w:rPr>
            <w:rStyle w:val="Hipercze"/>
            <w:rFonts w:asciiTheme="majorHAnsi" w:hAnsiTheme="majorHAnsi" w:cstheme="majorHAnsi"/>
            <w:color w:val="00B0F0"/>
            <w:sz w:val="24"/>
            <w:szCs w:val="24"/>
            <w:u w:val="none"/>
          </w:rPr>
          <w:t>o</w:t>
        </w:r>
        <w:r w:rsidR="00AF72F8">
          <w:rPr>
            <w:rStyle w:val="Hipercze"/>
            <w:rFonts w:asciiTheme="majorHAnsi" w:hAnsiTheme="majorHAnsi" w:cstheme="majorHAnsi"/>
            <w:color w:val="00B0F0"/>
            <w:sz w:val="24"/>
            <w:szCs w:val="24"/>
            <w:u w:val="none"/>
          </w:rPr>
          <w:t>.</w:t>
        </w:r>
      </w:hyperlink>
    </w:p>
    <w:p w14:paraId="30BEDE7A" w14:textId="479D9393" w:rsidR="00BB7118" w:rsidRPr="00AF72F8" w:rsidRDefault="0095512C" w:rsidP="00BB7118">
      <w:pPr>
        <w:numPr>
          <w:ilvl w:val="0"/>
          <w:numId w:val="1"/>
        </w:numPr>
        <w:spacing w:before="100" w:beforeAutospacing="1" w:after="100" w:afterAutospacing="1" w:line="276" w:lineRule="auto"/>
        <w:jc w:val="both"/>
        <w:rPr>
          <w:rFonts w:asciiTheme="majorHAnsi" w:hAnsiTheme="majorHAnsi" w:cstheme="majorHAnsi"/>
          <w:color w:val="00B0F0"/>
          <w:sz w:val="24"/>
          <w:szCs w:val="24"/>
        </w:rPr>
      </w:pPr>
      <w:hyperlink r:id="rId12" w:tgtFrame="_blank" w:history="1">
        <w:r w:rsidR="00AF72F8" w:rsidRPr="00AF72F8">
          <w:rPr>
            <w:rFonts w:asciiTheme="majorHAnsi" w:hAnsiTheme="majorHAnsi" w:cstheme="majorHAnsi"/>
            <w:color w:val="00B0F0"/>
            <w:sz w:val="24"/>
            <w:szCs w:val="24"/>
          </w:rPr>
          <w:t>„</w:t>
        </w:r>
        <w:r w:rsidR="00AF72F8" w:rsidRPr="00AF72F8">
          <w:rPr>
            <w:rFonts w:asciiTheme="majorHAnsi" w:hAnsiTheme="majorHAnsi" w:cstheme="majorHAnsi"/>
            <w:noProof/>
            <w:color w:val="00B0F0"/>
            <w:sz w:val="24"/>
            <w:szCs w:val="24"/>
          </w:rPr>
          <w:t xml:space="preserve">Raportu diagnostycznego obszaru Partnerstwa Rezerwatu Biosfery Bory Tucholskie”. </w:t>
        </w:r>
      </w:hyperlink>
    </w:p>
    <w:p w14:paraId="38322FC7" w14:textId="77777777" w:rsidR="00BB7118" w:rsidRPr="00AF72F8" w:rsidRDefault="00BB7118" w:rsidP="002D6D39">
      <w:pPr>
        <w:spacing w:line="276" w:lineRule="auto"/>
        <w:jc w:val="center"/>
        <w:rPr>
          <w:rFonts w:asciiTheme="majorHAnsi" w:hAnsiTheme="majorHAnsi" w:cstheme="majorHAnsi"/>
          <w:noProof/>
          <w:sz w:val="24"/>
          <w:szCs w:val="24"/>
        </w:rPr>
      </w:pPr>
    </w:p>
    <w:p w14:paraId="0A2C046F" w14:textId="77777777" w:rsidR="00BB7118" w:rsidRDefault="00BB7118" w:rsidP="002D6D39">
      <w:pPr>
        <w:spacing w:line="276" w:lineRule="auto"/>
        <w:jc w:val="center"/>
        <w:rPr>
          <w:rFonts w:asciiTheme="majorHAnsi" w:hAnsiTheme="majorHAnsi" w:cstheme="majorHAnsi"/>
          <w:b/>
          <w:bCs/>
          <w:noProof/>
          <w:sz w:val="24"/>
          <w:szCs w:val="24"/>
        </w:rPr>
      </w:pPr>
    </w:p>
    <w:p w14:paraId="0B525F34" w14:textId="56D61B66" w:rsidR="00BB7118" w:rsidRDefault="00BB7118" w:rsidP="002D6D39">
      <w:pPr>
        <w:spacing w:line="276" w:lineRule="auto"/>
        <w:jc w:val="center"/>
        <w:rPr>
          <w:rFonts w:asciiTheme="majorHAnsi" w:hAnsiTheme="majorHAnsi" w:cstheme="majorHAnsi"/>
          <w:b/>
          <w:bCs/>
          <w:noProof/>
          <w:sz w:val="24"/>
          <w:szCs w:val="24"/>
        </w:rPr>
      </w:pPr>
    </w:p>
    <w:p w14:paraId="59A6732F" w14:textId="36CD3CFE" w:rsidR="002D3F9B" w:rsidRDefault="002D3F9B" w:rsidP="00F374FA">
      <w:pPr>
        <w:spacing w:line="276" w:lineRule="auto"/>
        <w:rPr>
          <w:rFonts w:asciiTheme="majorHAnsi" w:hAnsiTheme="majorHAnsi" w:cstheme="majorHAnsi"/>
          <w:b/>
          <w:bCs/>
          <w:noProof/>
          <w:sz w:val="24"/>
          <w:szCs w:val="24"/>
        </w:rPr>
      </w:pPr>
    </w:p>
    <w:sectPr w:rsidR="002D3F9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8A96F" w14:textId="77777777" w:rsidR="00161084" w:rsidRDefault="00161084" w:rsidP="00220E21">
      <w:pPr>
        <w:spacing w:after="0" w:line="240" w:lineRule="auto"/>
      </w:pPr>
      <w:r>
        <w:separator/>
      </w:r>
    </w:p>
  </w:endnote>
  <w:endnote w:type="continuationSeparator" w:id="0">
    <w:p w14:paraId="367ADDF5" w14:textId="77777777" w:rsidR="00161084" w:rsidRDefault="00161084" w:rsidP="0022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172D" w14:textId="62263CBB" w:rsidR="00F374FA" w:rsidRDefault="00F374FA">
    <w:pPr>
      <w:pStyle w:val="Stopka"/>
    </w:pPr>
    <w:r>
      <w:rPr>
        <w:noProof/>
        <w:lang w:eastAsia="pl-PL"/>
      </w:rPr>
      <w:drawing>
        <wp:inline distT="0" distB="0" distL="0" distR="0" wp14:anchorId="6FF4CCF7" wp14:editId="6FB00A5F">
          <wp:extent cx="5760720" cy="62420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42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22469" w14:textId="77777777" w:rsidR="00161084" w:rsidRDefault="00161084" w:rsidP="00220E21">
      <w:pPr>
        <w:spacing w:after="0" w:line="240" w:lineRule="auto"/>
      </w:pPr>
      <w:r>
        <w:separator/>
      </w:r>
    </w:p>
  </w:footnote>
  <w:footnote w:type="continuationSeparator" w:id="0">
    <w:p w14:paraId="16D5513E" w14:textId="77777777" w:rsidR="00161084" w:rsidRDefault="00161084" w:rsidP="00220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DA295" w14:textId="6993C866" w:rsidR="00F374FA" w:rsidRDefault="00F374FA">
    <w:pPr>
      <w:pStyle w:val="Nagwek"/>
    </w:pPr>
    <w:r>
      <w:rPr>
        <w:noProof/>
        <w:lang w:eastAsia="pl-PL"/>
      </w:rPr>
      <w:drawing>
        <wp:inline distT="0" distB="0" distL="0" distR="0" wp14:anchorId="51E87C69" wp14:editId="3D9072E0">
          <wp:extent cx="5760720" cy="9283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28370"/>
                  </a:xfrm>
                  <a:prstGeom prst="rect">
                    <a:avLst/>
                  </a:prstGeom>
                  <a:noFill/>
                  <a:ln>
                    <a:noFill/>
                  </a:ln>
                </pic:spPr>
              </pic:pic>
            </a:graphicData>
          </a:graphic>
        </wp:inline>
      </w:drawing>
    </w:r>
  </w:p>
  <w:p w14:paraId="657BE6C4" w14:textId="77777777" w:rsidR="00F374FA" w:rsidRDefault="00F374F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A7BAD"/>
    <w:multiLevelType w:val="multilevel"/>
    <w:tmpl w:val="B938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00"/>
    <w:rsid w:val="000A725F"/>
    <w:rsid w:val="000B38B2"/>
    <w:rsid w:val="000B601F"/>
    <w:rsid w:val="00161084"/>
    <w:rsid w:val="002028C3"/>
    <w:rsid w:val="00220E21"/>
    <w:rsid w:val="00226C00"/>
    <w:rsid w:val="002506F9"/>
    <w:rsid w:val="002637F1"/>
    <w:rsid w:val="002D3C98"/>
    <w:rsid w:val="002D3F9B"/>
    <w:rsid w:val="002D6D39"/>
    <w:rsid w:val="00300EBF"/>
    <w:rsid w:val="00416175"/>
    <w:rsid w:val="004427EA"/>
    <w:rsid w:val="00460113"/>
    <w:rsid w:val="00521C4A"/>
    <w:rsid w:val="005E7DD8"/>
    <w:rsid w:val="00623440"/>
    <w:rsid w:val="00624D21"/>
    <w:rsid w:val="00657680"/>
    <w:rsid w:val="0074332E"/>
    <w:rsid w:val="007A199C"/>
    <w:rsid w:val="007C3194"/>
    <w:rsid w:val="00860A3D"/>
    <w:rsid w:val="0095512C"/>
    <w:rsid w:val="00997679"/>
    <w:rsid w:val="009A08DD"/>
    <w:rsid w:val="009A6A48"/>
    <w:rsid w:val="009E4D99"/>
    <w:rsid w:val="00A17522"/>
    <w:rsid w:val="00AF72F8"/>
    <w:rsid w:val="00BB7118"/>
    <w:rsid w:val="00C04D9B"/>
    <w:rsid w:val="00D44784"/>
    <w:rsid w:val="00DF0796"/>
    <w:rsid w:val="00E45A74"/>
    <w:rsid w:val="00F06BD5"/>
    <w:rsid w:val="00F374FA"/>
    <w:rsid w:val="00F62300"/>
    <w:rsid w:val="00F85F82"/>
    <w:rsid w:val="00FB3AC5"/>
    <w:rsid w:val="00FE1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9510"/>
  <w15:chartTrackingRefBased/>
  <w15:docId w15:val="{49F087B8-A8A1-4DC2-8D6C-4FD3328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D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00EBF"/>
    <w:rPr>
      <w:color w:val="0563C1" w:themeColor="hyperlink"/>
      <w:u w:val="single"/>
    </w:rPr>
  </w:style>
  <w:style w:type="character" w:customStyle="1" w:styleId="UnresolvedMention">
    <w:name w:val="Unresolved Mention"/>
    <w:basedOn w:val="Domylnaczcionkaakapitu"/>
    <w:uiPriority w:val="99"/>
    <w:semiHidden/>
    <w:unhideWhenUsed/>
    <w:rsid w:val="00300EBF"/>
    <w:rPr>
      <w:color w:val="605E5C"/>
      <w:shd w:val="clear" w:color="auto" w:fill="E1DFDD"/>
    </w:rPr>
  </w:style>
  <w:style w:type="paragraph" w:styleId="NormalnyWeb">
    <w:name w:val="Normal (Web)"/>
    <w:basedOn w:val="Normalny"/>
    <w:uiPriority w:val="99"/>
    <w:unhideWhenUsed/>
    <w:rsid w:val="002637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637F1"/>
    <w:rPr>
      <w:b/>
      <w:bCs/>
    </w:rPr>
  </w:style>
  <w:style w:type="paragraph" w:styleId="Tekstprzypisudolnego">
    <w:name w:val="footnote text"/>
    <w:basedOn w:val="Normalny"/>
    <w:link w:val="TekstprzypisudolnegoZnak"/>
    <w:unhideWhenUsed/>
    <w:rsid w:val="00220E21"/>
    <w:pPr>
      <w:spacing w:after="120" w:line="276" w:lineRule="auto"/>
      <w:ind w:left="851"/>
    </w:pPr>
    <w:rPr>
      <w:rFonts w:ascii="Calibri Light" w:hAnsi="Calibri Light"/>
      <w:sz w:val="24"/>
      <w:szCs w:val="20"/>
    </w:rPr>
  </w:style>
  <w:style w:type="character" w:customStyle="1" w:styleId="TekstprzypisudolnegoZnak">
    <w:name w:val="Tekst przypisu dolnego Znak"/>
    <w:basedOn w:val="Domylnaczcionkaakapitu"/>
    <w:link w:val="Tekstprzypisudolnego"/>
    <w:rsid w:val="00220E21"/>
    <w:rPr>
      <w:rFonts w:ascii="Calibri Light" w:hAnsi="Calibri Light"/>
      <w:sz w:val="24"/>
      <w:szCs w:val="20"/>
    </w:rPr>
  </w:style>
  <w:style w:type="character" w:styleId="Odwoanieprzypisudolnego">
    <w:name w:val="footnote reference"/>
    <w:basedOn w:val="Domylnaczcionkaakapitu"/>
    <w:uiPriority w:val="99"/>
    <w:semiHidden/>
    <w:unhideWhenUsed/>
    <w:rsid w:val="00220E21"/>
    <w:rPr>
      <w:vertAlign w:val="superscript"/>
    </w:rPr>
  </w:style>
  <w:style w:type="paragraph" w:styleId="Nagwek">
    <w:name w:val="header"/>
    <w:basedOn w:val="Normalny"/>
    <w:link w:val="NagwekZnak"/>
    <w:uiPriority w:val="99"/>
    <w:unhideWhenUsed/>
    <w:rsid w:val="00F374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74FA"/>
  </w:style>
  <w:style w:type="paragraph" w:styleId="Stopka">
    <w:name w:val="footer"/>
    <w:basedOn w:val="Normalny"/>
    <w:link w:val="StopkaZnak"/>
    <w:uiPriority w:val="99"/>
    <w:unhideWhenUsed/>
    <w:rsid w:val="00F374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962278">
      <w:bodyDiv w:val="1"/>
      <w:marLeft w:val="0"/>
      <w:marRight w:val="0"/>
      <w:marTop w:val="0"/>
      <w:marBottom w:val="0"/>
      <w:divBdr>
        <w:top w:val="none" w:sz="0" w:space="0" w:color="auto"/>
        <w:left w:val="none" w:sz="0" w:space="0" w:color="auto"/>
        <w:bottom w:val="none" w:sz="0" w:space="0" w:color="auto"/>
        <w:right w:val="none" w:sz="0" w:space="0" w:color="auto"/>
      </w:divBdr>
      <w:divsChild>
        <w:div w:id="105732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kow.pl/images/2020-aktualnosci/dokumenty/projekt_strategia_LOF_do_konsultacji.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kow.pl/images/2020-aktualnosci/dokumenty/formularz_konsultacje_strategii_LOF.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C6D96-E2A3-4B5A-A5B1-58AE2692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305</Words>
  <Characters>1831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ŻABIŃSKA-PIOTEREK</dc:creator>
  <cp:keywords/>
  <dc:description/>
  <cp:lastModifiedBy>Krystyna</cp:lastModifiedBy>
  <cp:revision>7</cp:revision>
  <dcterms:created xsi:type="dcterms:W3CDTF">2021-03-29T19:27:00Z</dcterms:created>
  <dcterms:modified xsi:type="dcterms:W3CDTF">2021-04-08T07:00:00Z</dcterms:modified>
</cp:coreProperties>
</file>